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9EF" w:rsidRDefault="006E3A6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459EF" w:rsidRDefault="006E3A6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1.009463</w:t>
      </w:r>
    </w:p>
    <w:p w:rsidR="00F459EF" w:rsidRDefault="006E3A6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F459EF" w:rsidRDefault="006E3A6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Thỏa thuận về nội dung liên quan đến đường thủy nội địa đối với công trình không thuộc kết cấu hạ tầng đường thủy nội địa và các hoạt động trên đường thủy nội địa</w:t>
      </w:r>
    </w:p>
    <w:p w:rsidR="00F459EF" w:rsidRDefault="006E3A6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F459EF" w:rsidRDefault="006E3A6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459EF" w:rsidRDefault="006E3A6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F459EF" w:rsidRDefault="006E3A67">
      <w:pPr>
        <w:spacing w:after="0" w:line="276" w:lineRule="auto"/>
        <w:jc w:val="both"/>
      </w:pPr>
      <w:r>
        <w:rPr>
          <w:rFonts w:ascii="Times New Roman" w:eastAsia="Times New Roman" w:hAnsi="Times New Roman" w:cs="Times New Roman"/>
          <w:b/>
          <w:sz w:val="26"/>
        </w:rPr>
        <w:t xml:space="preserve">Trình tự thực hiện: </w:t>
      </w:r>
    </w:p>
    <w:p w:rsidR="00F459EF" w:rsidRDefault="006E3A67">
      <w:pPr>
        <w:shd w:val="clear" w:color="auto" w:fill="F2F6F9"/>
        <w:spacing w:before="120" w:after="0" w:line="276" w:lineRule="auto"/>
        <w:jc w:val="both"/>
      </w:pPr>
      <w:r>
        <w:rPr>
          <w:rFonts w:ascii="Times New Roman" w:eastAsia="Times New Roman" w:hAnsi="Times New Roman" w:cs="Times New Roman"/>
          <w:b/>
          <w:sz w:val="26"/>
        </w:rPr>
        <w:t>a) Nộp hồ sơ TTHC:</w:t>
      </w:r>
    </w:p>
    <w:p w:rsidR="00F459EF" w:rsidRDefault="006E3A67">
      <w:pPr>
        <w:spacing w:after="0" w:line="276" w:lineRule="auto"/>
        <w:jc w:val="both"/>
      </w:pPr>
      <w:r>
        <w:rPr>
          <w:rFonts w:ascii="Times New Roman" w:eastAsia="Times New Roman" w:hAnsi="Times New Roman" w:cs="Times New Roman"/>
          <w:sz w:val="26"/>
        </w:rPr>
        <w:t>Chủ đầu tư xây dựng công trình, tổ chức, cá nhân tổ chức hoạt động nộp hồ sơ đến cơ quan có</w:t>
      </w:r>
      <w:r>
        <w:rPr>
          <w:rFonts w:ascii="Times New Roman" w:eastAsia="Times New Roman" w:hAnsi="Times New Roman" w:cs="Times New Roman"/>
          <w:sz w:val="26"/>
        </w:rPr>
        <w:t xml:space="preserve"> thẩm quyền để giải quyết sau:  - Bộ Xây dựng: thỏa thuận đối với các công trình, hoạt động quốc phòng, an ninh có liên quan đến giao thông đường thủy nội địa trên đường thủy nội địa quốc gia, đường thủy nội địa chuyên dùng nối với đường thủy nội địa quốc </w:t>
      </w:r>
      <w:r>
        <w:rPr>
          <w:rFonts w:ascii="Times New Roman" w:eastAsia="Times New Roman" w:hAnsi="Times New Roman" w:cs="Times New Roman"/>
          <w:sz w:val="26"/>
        </w:rPr>
        <w:t>gia;  -  Ủy ban nhân dân cấp tỉnh: thỏa thuận đối với công trình, các hoạt động động quốc phòng, an ninh có liên quan đến giao thông đường thủy nội địa trên đường thủy nội địa địa phương, đường thủy nội địa chuyên dùng nối với đường thủy nội địa địa phương</w:t>
      </w:r>
      <w:r>
        <w:rPr>
          <w:rFonts w:ascii="Times New Roman" w:eastAsia="Times New Roman" w:hAnsi="Times New Roman" w:cs="Times New Roman"/>
          <w:sz w:val="26"/>
        </w:rPr>
        <w:t>;  - Cục Hàng hải và Đường thủy Việt Nam: thỏa thuận về nội dung liên quan đến đường thủy nội địa đối với các công trình, hoạt động trên đường thủy nội địa quốc gia, đường thủy nội địa chuyên dùng nối với đường thủy nội địa quốc gia, hành lang bảo vệ luồng</w:t>
      </w:r>
      <w:r>
        <w:rPr>
          <w:rFonts w:ascii="Times New Roman" w:eastAsia="Times New Roman" w:hAnsi="Times New Roman" w:cs="Times New Roman"/>
          <w:sz w:val="26"/>
        </w:rPr>
        <w:t>, trừ trường hợp thuộc thẩm quyền của Bộ Xây dựng;  -  Sở Xây dựng, Sở Giao thông công chánh TP Hồ Chí Minh: thỏa thuận về nội dung liên quan đến đường thủy nội địa đối với các công trình, hoạt động trên đường thủy nội địa địa phương, đường thủy nội địa ch</w:t>
      </w:r>
      <w:r>
        <w:rPr>
          <w:rFonts w:ascii="Times New Roman" w:eastAsia="Times New Roman" w:hAnsi="Times New Roman" w:cs="Times New Roman"/>
          <w:sz w:val="26"/>
        </w:rPr>
        <w:t>uyên dùng nối với đường thủy nội địa địa phương, hành lang bảo vệ luồng, trừ trường hợp thuộc thẩm quyền giải quyết của Ủy ban nhân dân cấp tỉnh.  - Cảng vụ, Sở Xây dựng (nơi chưa có Cảng vụ): thỏa thuận đối với hoạt động nạo vét cải tạo vùng nước cảng, bế</w:t>
      </w:r>
      <w:r>
        <w:rPr>
          <w:rFonts w:ascii="Times New Roman" w:eastAsia="Times New Roman" w:hAnsi="Times New Roman" w:cs="Times New Roman"/>
          <w:sz w:val="26"/>
        </w:rPr>
        <w:t>n thủy nội địa, khu neo đậu thuộc phạm vi quản lý.</w:t>
      </w:r>
    </w:p>
    <w:p w:rsidR="00F459EF" w:rsidRDefault="006E3A67">
      <w:pPr>
        <w:shd w:val="clear" w:color="auto" w:fill="F2F6F9"/>
        <w:spacing w:before="120" w:after="0" w:line="276" w:lineRule="auto"/>
        <w:jc w:val="both"/>
      </w:pPr>
      <w:r>
        <w:rPr>
          <w:rFonts w:ascii="Times New Roman" w:eastAsia="Times New Roman" w:hAnsi="Times New Roman" w:cs="Times New Roman"/>
          <w:b/>
          <w:sz w:val="26"/>
        </w:rPr>
        <w:t>b) Giải quyết TTHC:</w:t>
      </w:r>
    </w:p>
    <w:p w:rsidR="00F459EF" w:rsidRDefault="006E3A67">
      <w:pPr>
        <w:spacing w:after="0" w:line="276" w:lineRule="auto"/>
        <w:jc w:val="both"/>
      </w:pPr>
      <w:r>
        <w:rPr>
          <w:rFonts w:ascii="Times New Roman" w:eastAsia="Times New Roman" w:hAnsi="Times New Roman" w:cs="Times New Roman"/>
          <w:sz w:val="26"/>
        </w:rPr>
        <w:t>Trong thời hạn 05 ngày làm việc, kể từ ngày nhận đủ hồ sơ theo quy định, cơ quan có thẩm quyền có văn bản thỏa thuận gửi chủ đầu tư.</w:t>
      </w:r>
    </w:p>
    <w:p w:rsidR="00F459EF" w:rsidRDefault="006E3A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46"/>
        <w:gridCol w:w="1389"/>
        <w:gridCol w:w="2132"/>
        <w:gridCol w:w="4544"/>
      </w:tblGrid>
      <w:tr w:rsidR="00F459EF">
        <w:tblPrEx>
          <w:tblCellMar>
            <w:top w:w="0" w:type="dxa"/>
            <w:bottom w:w="0" w:type="dxa"/>
          </w:tblCellMar>
        </w:tblPrEx>
        <w:tc>
          <w:tcPr>
            <w:tcW w:w="15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Hình thức nộp</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 xml:space="preserve">Thời hạn giải </w:t>
            </w:r>
            <w:r>
              <w:rPr>
                <w:rFonts w:ascii="Times New Roman" w:eastAsia="Times New Roman" w:hAnsi="Times New Roman" w:cs="Times New Roman"/>
                <w:b/>
                <w:sz w:val="26"/>
              </w:rPr>
              <w:t>quyết</w:t>
            </w:r>
          </w:p>
        </w:tc>
        <w:tc>
          <w:tcPr>
            <w:tcW w:w="35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Phí, lệ phí</w:t>
            </w:r>
          </w:p>
        </w:tc>
        <w:tc>
          <w:tcPr>
            <w:tcW w:w="3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Mô tả</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Trực tiếp</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5 Ngày làm </w:t>
            </w:r>
            <w:r>
              <w:rPr>
                <w:rFonts w:ascii="Times New Roman" w:eastAsia="Times New Roman" w:hAnsi="Times New Roman" w:cs="Times New Roman"/>
                <w:sz w:val="26"/>
              </w:rPr>
              <w:lastRenderedPageBreak/>
              <w:t>việc</w:t>
            </w:r>
          </w:p>
        </w:tc>
        <w:tc>
          <w:tcPr>
            <w:tcW w:w="0" w:type="auto"/>
          </w:tcPr>
          <w:p w:rsidR="00F459EF" w:rsidRDefault="00F459EF"/>
          <w:p w:rsidR="00F459EF" w:rsidRDefault="00F459EF">
            <w:pPr>
              <w:spacing w:after="0" w:line="276" w:lineRule="auto"/>
            </w:pP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Trong thời hạn 05 ngày làm việc, kể từ </w:t>
            </w:r>
            <w:r>
              <w:rPr>
                <w:rFonts w:ascii="Times New Roman" w:eastAsia="Times New Roman" w:hAnsi="Times New Roman" w:cs="Times New Roman"/>
                <w:sz w:val="26"/>
              </w:rPr>
              <w:lastRenderedPageBreak/>
              <w:t>ngày nhận đủ hồ sơ theo quy định.</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Trực tuyến</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5 Ngày làm việc</w:t>
            </w:r>
          </w:p>
        </w:tc>
        <w:tc>
          <w:tcPr>
            <w:tcW w:w="0" w:type="auto"/>
          </w:tcPr>
          <w:p w:rsidR="00F459EF" w:rsidRDefault="00F459EF"/>
          <w:p w:rsidR="00F459EF" w:rsidRDefault="00F459EF">
            <w:pPr>
              <w:spacing w:after="0" w:line="276" w:lineRule="auto"/>
            </w:pP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Dịch vụ bưu chính</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5 Ngày làm việc</w:t>
            </w:r>
          </w:p>
        </w:tc>
        <w:tc>
          <w:tcPr>
            <w:tcW w:w="0" w:type="auto"/>
          </w:tcPr>
          <w:p w:rsidR="00F459EF" w:rsidRDefault="00F459EF"/>
          <w:p w:rsidR="00F459EF" w:rsidRDefault="00F459EF">
            <w:pPr>
              <w:spacing w:after="0" w:line="276" w:lineRule="auto"/>
            </w:pP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rsidR="00F459EF" w:rsidRDefault="006E3A67">
      <w:pPr>
        <w:spacing w:before="240" w:after="0" w:line="276" w:lineRule="auto"/>
        <w:jc w:val="both"/>
      </w:pPr>
      <w:r>
        <w:rPr>
          <w:rFonts w:ascii="Times New Roman" w:eastAsia="Times New Roman" w:hAnsi="Times New Roman" w:cs="Times New Roman"/>
          <w:b/>
          <w:sz w:val="26"/>
        </w:rPr>
        <w:t xml:space="preserve">Thành phần hồ sơ: </w:t>
      </w:r>
    </w:p>
    <w:p w:rsidR="00F459EF" w:rsidRDefault="006E3A67">
      <w:pPr>
        <w:shd w:val="clear" w:color="auto" w:fill="F2F6F9"/>
        <w:spacing w:before="120" w:after="0" w:line="276" w:lineRule="auto"/>
        <w:jc w:val="both"/>
      </w:pPr>
      <w:r>
        <w:rPr>
          <w:rFonts w:ascii="Times New Roman" w:eastAsia="Times New Roman" w:hAnsi="Times New Roman" w:cs="Times New Roman"/>
          <w:b/>
          <w:sz w:val="26"/>
        </w:rPr>
        <w:t xml:space="preserve"> Đối với các hoạt động : Hoạt động thi công công trình (bao gồm hoạt động nạo vét vùng nước cảng, bến thủy nội địa, khu neo đậu); khai thác tài nguyên, khoáng sản; Khu vực nuôi trồng thủy sản, hải sản (bè cá, lồng cá, đăng, đáy cá, bãi nuôi trồng thủy sản,</w:t>
      </w:r>
      <w:r>
        <w:rPr>
          <w:rFonts w:ascii="Times New Roman" w:eastAsia="Times New Roman" w:hAnsi="Times New Roman" w:cs="Times New Roman"/>
          <w:b/>
          <w:sz w:val="26"/>
        </w:rPr>
        <w:t xml:space="preserve"> hải sản); tổ chức hoạt động vui chơi, giải trí, diễn tập, thể thao, lễ hội; họp chợ, làng nghề, thực hành đào tạo nghề, hồ sơ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320"/>
        <w:gridCol w:w="1115"/>
        <w:gridCol w:w="976"/>
      </w:tblGrid>
      <w:tr w:rsidR="00F459EF">
        <w:tblPrEx>
          <w:tblCellMar>
            <w:top w:w="0" w:type="dxa"/>
            <w:bottom w:w="0" w:type="dxa"/>
          </w:tblCellMar>
        </w:tblPrEx>
        <w:tc>
          <w:tcPr>
            <w:tcW w:w="6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Tên giấy tờ</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Mẫu đơn, tờ khai</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Số lượng</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Đơn đề nghị thỏa thuận theo mẫu;</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31.docx</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 Bản vẽ </w:t>
            </w:r>
            <w:r>
              <w:rPr>
                <w:rFonts w:ascii="Times New Roman" w:eastAsia="Times New Roman" w:hAnsi="Times New Roman" w:cs="Times New Roman"/>
                <w:sz w:val="26"/>
              </w:rPr>
              <w:t>thể hiện phạm vi khu vực hoạt động, phạm vi luồng và hành lang bảo vệ luồng, khoảng cách đến các công trình liên quan ở khu vực và phương án bố trí báo hiệu bảo đảm an toàn giao thông đường thủy nội địa;</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 Bản vẽ các mặt cắt </w:t>
            </w:r>
            <w:r>
              <w:rPr>
                <w:rFonts w:ascii="Times New Roman" w:eastAsia="Times New Roman" w:hAnsi="Times New Roman" w:cs="Times New Roman"/>
                <w:sz w:val="26"/>
              </w:rPr>
              <w:t>ngang và hồ sơ mốc để xác định phạm vi, cao trình nạo vét, khai thác tài nguyên, khoáng sản (đối với hoạt động nạo vét cải tạo vùng nước cảng, bến thủy nội địa, luồng chuyên dùng vào cảng, bến thủy nội địa, khu neo đậu; khai thác tài nguyên, khoáng sản).</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459EF" w:rsidRDefault="006E3A67">
      <w:pPr>
        <w:shd w:val="clear" w:color="auto" w:fill="F2F6F9"/>
        <w:spacing w:before="120" w:after="0" w:line="276" w:lineRule="auto"/>
        <w:jc w:val="both"/>
      </w:pPr>
      <w:r>
        <w:rPr>
          <w:rFonts w:ascii="Times New Roman" w:eastAsia="Times New Roman" w:hAnsi="Times New Roman" w:cs="Times New Roman"/>
          <w:b/>
          <w:sz w:val="26"/>
        </w:rPr>
        <w:t>*) Bản vẽ khu vực xây dựng công trình trên hệ tọa độ quốc gia VN2000, hệ cao độ nhà nước. Trên bản vẽ thể hiện vị trí công trình và cao độ tự nhiên, địa hình, địa vật của sông, kênh đối với khu vực xây dựng công trình, các công tr</w:t>
      </w:r>
      <w:r>
        <w:rPr>
          <w:rFonts w:ascii="Times New Roman" w:eastAsia="Times New Roman" w:hAnsi="Times New Roman" w:cs="Times New Roman"/>
          <w:b/>
          <w:sz w:val="26"/>
        </w:rPr>
        <w:t>ình liền kề (nếu có) và các tài liệu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90"/>
        <w:gridCol w:w="860"/>
        <w:gridCol w:w="961"/>
      </w:tblGrid>
      <w:tr w:rsidR="00F459EF">
        <w:tblPrEx>
          <w:tblCellMar>
            <w:top w:w="0" w:type="dxa"/>
            <w:bottom w:w="0" w:type="dxa"/>
          </w:tblCellMar>
        </w:tblPrEx>
        <w:tc>
          <w:tcPr>
            <w:tcW w:w="6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Tên giấy tờ</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Mẫu đơn, tờ khai</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Số lượng</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 Đối với cầu vĩnh cửu, cầu tạm: số liệu về kích thước khoang thông thuyền (vị trí, chiều rộng, chiều cao tĩnh không); mặt cắt dọc công trình thể hiện trên mặt cắt ngang </w:t>
            </w:r>
            <w:r>
              <w:rPr>
                <w:rFonts w:ascii="Times New Roman" w:eastAsia="Times New Roman" w:hAnsi="Times New Roman" w:cs="Times New Roman"/>
                <w:sz w:val="26"/>
              </w:rPr>
              <w:t>sông, kênh;</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 Đối với cầu quay, cầu cất, cầu phao, cầu nâng hạ, công trình thủy điện kết hợp giao thông: số liệu về khoang thông thuyền (vị trí, chiều rộng, chiều cao tĩnh không, chiều dài, độ sâu ngưỡng âu); phương án và công </w:t>
            </w:r>
            <w:r>
              <w:rPr>
                <w:rFonts w:ascii="Times New Roman" w:eastAsia="Times New Roman" w:hAnsi="Times New Roman" w:cs="Times New Roman"/>
                <w:sz w:val="26"/>
              </w:rPr>
              <w:t>nghệ đóng, mở; bản vẽ thiết kế vị trí, vùng nước dự kiến bố trí cho phương tiện neo đậu khi chờ đợi qua công trình;</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Đối với đường ống, đường dây, công trình vượt qua luồng trên không: bản vẽ, các số liệu về chiều cao tĩnh khôn</w:t>
            </w:r>
            <w:r>
              <w:rPr>
                <w:rFonts w:ascii="Times New Roman" w:eastAsia="Times New Roman" w:hAnsi="Times New Roman" w:cs="Times New Roman"/>
                <w:sz w:val="26"/>
              </w:rPr>
              <w:t>g, thể hiện điểm cao nhất của đường ống, đường dây (điểm thấp nhất của đường dây điện, tính cả hành lang an toàn lưới điện), công trình vượt qua luồng;</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Đối với công trình ngầm, đường dây, đường ống dưới đáy luồng: bản vẽ thể h</w:t>
            </w:r>
            <w:r>
              <w:rPr>
                <w:rFonts w:ascii="Times New Roman" w:eastAsia="Times New Roman" w:hAnsi="Times New Roman" w:cs="Times New Roman"/>
                <w:sz w:val="26"/>
              </w:rPr>
              <w:t>iện khoảng cách, cao trình đỉnh công trình đến cao trình đáy thiết kế luồng, phạm vi luồng và hành lang bảo vệ luồng đường thủy nội địa;</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Đối với công trình đập, thủy điện, thủy lợi: bình đồ và bản vẽ khu vực cảng, bến thủy nội</w:t>
            </w:r>
            <w:r>
              <w:rPr>
                <w:rFonts w:ascii="Times New Roman" w:eastAsia="Times New Roman" w:hAnsi="Times New Roman" w:cs="Times New Roman"/>
                <w:sz w:val="26"/>
              </w:rPr>
              <w:t xml:space="preserve"> địa hoặc khu vực chuyển tải tại thượng lưu và hạ lưu công trình; phương án bốc xếp, chuyển tải;</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 Đối với công trình phục vụ quốc phòng, an ninh; công trình phong điện, nhiệt điện; bến phà, kè: bản vẽ thể hiện mặt bằng khu vực </w:t>
            </w:r>
            <w:r>
              <w:rPr>
                <w:rFonts w:ascii="Times New Roman" w:eastAsia="Times New Roman" w:hAnsi="Times New Roman" w:cs="Times New Roman"/>
                <w:sz w:val="26"/>
              </w:rPr>
              <w:t>cảng; công trình kè, chỉnh trị khác; kích thước, kết cấu các cầu cảng, kè, công trình chỉnh trị khác và các công trình phụ trợ; vùng nước của cảng.</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459EF" w:rsidRDefault="006E3A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F459EF">
        <w:tblPrEx>
          <w:tblCellMar>
            <w:top w:w="0" w:type="dxa"/>
            <w:bottom w:w="0" w:type="dxa"/>
          </w:tblCellMar>
        </w:tblPrEx>
        <w:tc>
          <w:tcPr>
            <w:tcW w:w="6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Tên giấy tờ</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Mẫu đơn, tờ khai</w:t>
            </w:r>
          </w:p>
        </w:tc>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Số lượng</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xml:space="preserve">- Đơn đề nghị thỏa thuận xây </w:t>
            </w:r>
            <w:r>
              <w:rPr>
                <w:rFonts w:ascii="Times New Roman" w:eastAsia="Times New Roman" w:hAnsi="Times New Roman" w:cs="Times New Roman"/>
                <w:sz w:val="26"/>
              </w:rPr>
              <w:t>dựng công trình theo mẫu;</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31.docx</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Bản vẽ mặt cắt công trình thể hiện trên mặt cắt ngang sông.</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 Bản vẽ khu vực xây dựng công trình trên hệ tọa độ quốc gia VN2000, hệ cao độ nhà nước. Trên bản vẽ thể</w:t>
            </w:r>
            <w:r>
              <w:rPr>
                <w:rFonts w:ascii="Times New Roman" w:eastAsia="Times New Roman" w:hAnsi="Times New Roman" w:cs="Times New Roman"/>
                <w:sz w:val="26"/>
              </w:rPr>
              <w:t xml:space="preserve"> hiện vị trí công trình và cao độ tự nhiên, địa hình, địa vật của sông, kênh đối với khu vực xây dựng công trình, các công trình liền kề (nếu có) và các tài liệu kèm theo.</w:t>
            </w:r>
          </w:p>
        </w:tc>
        <w:tc>
          <w:tcPr>
            <w:tcW w:w="0" w:type="auto"/>
          </w:tcPr>
          <w:p w:rsidR="00F459EF" w:rsidRDefault="00F459EF"/>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459EF" w:rsidRDefault="006E3A6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w:t>
      </w:r>
      <w:r>
        <w:rPr>
          <w:rFonts w:ascii="Times New Roman" w:eastAsia="Times New Roman" w:hAnsi="Times New Roman" w:cs="Times New Roman"/>
          <w:sz w:val="26"/>
        </w:rPr>
        <w:t xml:space="preserve"> Doanh nghiệp, Doanh nghiệp có vốn đầu tư nước ngoài, Tổ chức (không bao gồm doanh nghiệp, HTX), Tổ chức nước ngoài, Hợp tác xã</w:t>
      </w:r>
    </w:p>
    <w:p w:rsidR="00F459EF" w:rsidRDefault="006E3A6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 Xây dựng, Cảng vụ hàng hải, Ủy ban nhân dân cấp tỉnh, Cả</w:t>
      </w:r>
      <w:r>
        <w:rPr>
          <w:rFonts w:ascii="Times New Roman" w:eastAsia="Times New Roman" w:hAnsi="Times New Roman" w:cs="Times New Roman"/>
          <w:sz w:val="26"/>
        </w:rPr>
        <w:t>ng vụ Đường thủy nội địa, Sở Giao thông công chánh - TP.HCM</w:t>
      </w:r>
    </w:p>
    <w:p w:rsidR="00F459EF" w:rsidRDefault="006E3A6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459EF" w:rsidRDefault="006E3A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459EF" w:rsidRDefault="006E3A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459EF" w:rsidRDefault="006E3A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459EF" w:rsidRDefault="006E3A6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thỏa </w:t>
      </w:r>
      <w:r>
        <w:rPr>
          <w:rFonts w:ascii="Times New Roman" w:eastAsia="Times New Roman" w:hAnsi="Times New Roman" w:cs="Times New Roman"/>
          <w:sz w:val="26"/>
        </w:rPr>
        <w:t>thuận.</w:t>
      </w:r>
    </w:p>
    <w:p w:rsidR="00F459EF" w:rsidRDefault="006E3A67">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F459EF">
        <w:tblPrEx>
          <w:tblCellMar>
            <w:top w:w="0" w:type="dxa"/>
            <w:bottom w:w="0" w:type="dxa"/>
          </w:tblCellMar>
        </w:tblPrEx>
        <w:tc>
          <w:tcPr>
            <w:tcW w:w="2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Số ký hiệu</w:t>
            </w:r>
          </w:p>
        </w:tc>
        <w:tc>
          <w:tcPr>
            <w:tcW w:w="35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Trích yếu</w:t>
            </w:r>
          </w:p>
        </w:tc>
        <w:tc>
          <w:tcPr>
            <w:tcW w:w="15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Ngày ban hành</w:t>
            </w:r>
          </w:p>
        </w:tc>
        <w:tc>
          <w:tcPr>
            <w:tcW w:w="3000" w:type="dxa"/>
          </w:tcPr>
          <w:p w:rsidR="00F459EF" w:rsidRDefault="00F459EF"/>
          <w:p w:rsidR="00F459EF" w:rsidRDefault="006E3A67">
            <w:pPr>
              <w:spacing w:after="0" w:line="276" w:lineRule="auto"/>
              <w:jc w:val="center"/>
            </w:pPr>
            <w:r>
              <w:rPr>
                <w:rFonts w:ascii="Times New Roman" w:eastAsia="Times New Roman" w:hAnsi="Times New Roman" w:cs="Times New Roman"/>
                <w:b/>
                <w:sz w:val="26"/>
              </w:rPr>
              <w:t>Cơ quan ban hành</w:t>
            </w:r>
          </w:p>
        </w:tc>
      </w:tr>
      <w:tr w:rsidR="00F459EF">
        <w:tblPrEx>
          <w:tblCellMar>
            <w:top w:w="0" w:type="dxa"/>
            <w:bottom w:w="0" w:type="dxa"/>
          </w:tblCellMar>
        </w:tblPrEx>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08/2021/NĐ-CP</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Nghị định 08/2021/NĐ-CP</w:t>
            </w:r>
          </w:p>
        </w:tc>
        <w:tc>
          <w:tcPr>
            <w:tcW w:w="0" w:type="auto"/>
          </w:tcPr>
          <w:p w:rsidR="00F459EF" w:rsidRDefault="00F459EF"/>
          <w:p w:rsidR="00F459EF" w:rsidRDefault="006E3A67">
            <w:pPr>
              <w:spacing w:after="0" w:line="276" w:lineRule="auto"/>
            </w:pPr>
            <w:r>
              <w:rPr>
                <w:rFonts w:ascii="Times New Roman" w:eastAsia="Times New Roman" w:hAnsi="Times New Roman" w:cs="Times New Roman"/>
                <w:sz w:val="26"/>
              </w:rPr>
              <w:t>28-01-2021</w:t>
            </w:r>
          </w:p>
        </w:tc>
        <w:tc>
          <w:tcPr>
            <w:tcW w:w="0" w:type="auto"/>
          </w:tcPr>
          <w:p w:rsidR="00F459EF" w:rsidRDefault="00F459EF"/>
        </w:tc>
      </w:tr>
    </w:tbl>
    <w:p w:rsidR="00F459EF" w:rsidRDefault="006E3A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F459EF" w:rsidRDefault="006E3A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459EF" w:rsidRDefault="006E3A6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459E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459EF"/>
    <w:rsid w:val="006E3A67"/>
    <w:rsid w:val="00F459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F0054C-5BFB-4974-A6CA-1B4568C6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5725</Characters>
  <Application>Microsoft Office Word</Application>
  <DocSecurity>0</DocSecurity>
  <Lines>47</Lines>
  <Paragraphs>13</Paragraphs>
  <ScaleCrop>false</ScaleCrop>
  <Company>Microsoft</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